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2A" w:rsidRPr="00F6772A" w:rsidRDefault="00F6772A" w:rsidP="00F6772A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F6772A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                               </w:t>
      </w:r>
      <w:r w:rsidR="00587030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                  </w:t>
      </w:r>
      <w:r w:rsidRPr="00F6772A">
        <w:rPr>
          <w:rFonts w:ascii="Times New Roman" w:hAnsi="Times New Roman" w:cs="Times New Roman"/>
          <w:b/>
          <w:sz w:val="28"/>
          <w:szCs w:val="28"/>
          <w:lang w:val="ro-RO" w:eastAsia="ro-RO"/>
        </w:rPr>
        <w:t> Informare </w:t>
      </w:r>
    </w:p>
    <w:p w:rsidR="00F6772A" w:rsidRPr="00F6772A" w:rsidRDefault="00F6772A" w:rsidP="00F677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F6772A" w:rsidRPr="00F6772A" w:rsidRDefault="00F6772A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> 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Astăzi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, 8 octombrie, 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a avut loc la sediul M</w:t>
      </w:r>
      <w:r w:rsidR="007213D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E</w:t>
      </w:r>
      <w:r w:rsidR="007213D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N</w:t>
      </w:r>
      <w:r w:rsidR="007213D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sedința Comisiei de Dialog Social în cadrul căreia s-a 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>discutat Proiectul Metodologiei-cadru privind mobilitatea personalului didactic de predare din Învățământul preuniversitar în anul școlar 2019-2020.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Din partea F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S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L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I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. au 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participat</w:t>
      </w:r>
      <w:r w:rsidR="007213D0">
        <w:rPr>
          <w:rFonts w:ascii="Times New Roman" w:hAnsi="Times New Roman" w:cs="Times New Roman"/>
          <w:sz w:val="28"/>
          <w:szCs w:val="28"/>
          <w:lang w:val="ro-RO" w:eastAsia="ro-RO"/>
        </w:rPr>
        <w:t>: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7213D0">
        <w:rPr>
          <w:rFonts w:ascii="Times New Roman" w:hAnsi="Times New Roman" w:cs="Times New Roman"/>
          <w:sz w:val="28"/>
          <w:szCs w:val="28"/>
          <w:lang w:val="ro-RO" w:eastAsia="ro-RO"/>
        </w:rPr>
        <w:t>Cornelia-Popa Stavri-Secretar G</w:t>
      </w:r>
      <w:r w:rsidR="00612C39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eneral și 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George</w:t>
      </w:r>
      <w:r w:rsidR="00612C39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Purcaru-Prim-vicepreședinte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</w:p>
    <w:p w:rsidR="00F6772A" w:rsidRPr="00F6772A" w:rsidRDefault="00F6772A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>Au fost aprobate propunerile F</w:t>
      </w:r>
      <w:r w:rsidR="007213D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>S</w:t>
      </w:r>
      <w:r w:rsidR="007213D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>L</w:t>
      </w:r>
      <w:r w:rsidR="007213D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>I</w:t>
      </w:r>
      <w:r w:rsidR="007213D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discutate în comisia tehnică de lucru 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care s-a întrunit 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la Brănești în perioada 18-20 septembrie.</w:t>
      </w:r>
    </w:p>
    <w:p w:rsidR="00F6772A" w:rsidRPr="00F6772A" w:rsidRDefault="00F6772A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În plus față de discuțiile din comisia tehnică, 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reprezentanții 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F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>S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>L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>I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a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u </w:t>
      </w:r>
      <w:r w:rsidR="007213D0"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propus o completare 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la art.94 alin (7) </w:t>
      </w:r>
      <w:r w:rsidR="007213D0"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conform căreia </w:t>
      </w:r>
      <w:r w:rsidR="007213D0" w:rsidRPr="007213D0">
        <w:rPr>
          <w:rFonts w:ascii="Times New Roman" w:hAnsi="Times New Roman" w:cs="Times New Roman"/>
          <w:sz w:val="28"/>
          <w:szCs w:val="28"/>
          <w:lang w:val="en-US" w:eastAsia="ro-RO"/>
        </w:rPr>
        <w:t>”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cadrele didactice pensionare din alte domenii să fie ierahizate astfel:</w:t>
      </w:r>
    </w:p>
    <w:p w:rsidR="00F6772A" w:rsidRPr="00F6772A" w:rsidRDefault="00F6772A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>- au prioritate cei care au definitivat în învățămân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>t, ulterior putând fi repartiza</w:t>
      </w: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>ți și cei care nu au definitivat, dar au specializare în domeniul solicitat.”  - propunere acceptată</w:t>
      </w:r>
    </w:p>
    <w:p w:rsidR="00F6772A" w:rsidRPr="00F6772A" w:rsidRDefault="00F6772A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</w:p>
    <w:p w:rsidR="00F6772A" w:rsidRPr="00F6772A" w:rsidRDefault="007213D0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S-a decis constituirea unui </w:t>
      </w:r>
      <w:r w:rsidR="00F6772A" w:rsidRPr="00F6772A"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  <w:t>grup tehnic de lucru pentru elaborarea unui model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F6772A" w:rsidRPr="00F6772A"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  <w:t>cadru de decizie și act adițional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în cazul în care avem situația modificării contractului individual de muncă din perioadă determinată de un an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,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în C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I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M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. pe durata de viab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ilitate a postului/ catedrei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,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în condiățiile respectării condițiilor impuse de metodologia mișcării de personal.</w:t>
      </w:r>
    </w:p>
    <w:p w:rsidR="00F6772A" w:rsidRPr="00F6772A" w:rsidRDefault="00F6772A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</w:p>
    <w:p w:rsidR="00F6772A" w:rsidRPr="00F6772A" w:rsidRDefault="007213D0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La Diverse:</w:t>
      </w:r>
    </w:p>
    <w:p w:rsidR="00F6772A" w:rsidRPr="007213D0" w:rsidRDefault="007213D0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A  fost adusă în discuție </w:t>
      </w:r>
      <w:bookmarkStart w:id="0" w:name="_GoBack"/>
      <w:bookmarkEnd w:id="0"/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problema  Aplicației EduS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al (alerta J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referitoare la depășirea unei norme pentru nedidactic și didactic auxiliar;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plata C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O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neefectuat și neaprobarea statului de personal pe</w:t>
      </w: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motivul neîncadrării în buget).</w:t>
      </w:r>
    </w:p>
    <w:p w:rsidR="007213D0" w:rsidRPr="00F6772A" w:rsidRDefault="007213D0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Răspuns:</w:t>
      </w:r>
    </w:p>
    <w:p w:rsidR="00F6772A" w:rsidRPr="00F6772A" w:rsidRDefault="00F6772A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F6772A">
        <w:rPr>
          <w:rFonts w:ascii="Times New Roman" w:hAnsi="Times New Roman" w:cs="Times New Roman"/>
          <w:sz w:val="28"/>
          <w:szCs w:val="28"/>
          <w:lang w:val="ro-RO" w:eastAsia="ro-RO"/>
        </w:rPr>
        <w:t>1. Alerta J se va menține în con</w:t>
      </w:r>
      <w:r w:rsidR="007213D0">
        <w:rPr>
          <w:rFonts w:ascii="Times New Roman" w:hAnsi="Times New Roman" w:cs="Times New Roman"/>
          <w:sz w:val="28"/>
          <w:szCs w:val="28"/>
          <w:lang w:val="ro-RO" w:eastAsia="ro-RO"/>
        </w:rPr>
        <w:t>tinuare, dar nu împiedică plata;</w:t>
      </w:r>
    </w:p>
    <w:p w:rsidR="00F6772A" w:rsidRDefault="007213D0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7213D0">
        <w:rPr>
          <w:rFonts w:ascii="Times New Roman" w:hAnsi="Times New Roman" w:cs="Times New Roman"/>
          <w:sz w:val="28"/>
          <w:szCs w:val="28"/>
          <w:lang w:val="ro-RO" w:eastAsia="ro-RO"/>
        </w:rPr>
        <w:t>2.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Pentru plata C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O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neefectuat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,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E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N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a pregătit un O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M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E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N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în vederea soluționării acestei probleme. Imediat ce vom avea ministru, O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M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E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>N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F6772A" w:rsidRPr="00F6772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va fi semnat și aplicat.</w:t>
      </w:r>
    </w:p>
    <w:p w:rsidR="007213D0" w:rsidRDefault="007213D0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</w:p>
    <w:p w:rsidR="007213D0" w:rsidRDefault="007213D0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                   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 xml:space="preserve">Secretar </w:t>
      </w:r>
      <w:r w:rsidR="00587030">
        <w:rPr>
          <w:rFonts w:ascii="Times New Roman" w:hAnsi="Times New Roman" w:cs="Times New Roman"/>
          <w:sz w:val="28"/>
          <w:szCs w:val="28"/>
          <w:lang w:val="ro-RO" w:eastAsia="ro-RO"/>
        </w:rPr>
        <w:t>General,</w:t>
      </w:r>
    </w:p>
    <w:p w:rsidR="00587030" w:rsidRDefault="00587030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    </w:t>
      </w:r>
    </w:p>
    <w:p w:rsidR="00587030" w:rsidRPr="00F6772A" w:rsidRDefault="00587030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                    Cornelia Popa Stavri</w:t>
      </w:r>
    </w:p>
    <w:p w:rsidR="00F6772A" w:rsidRPr="00F6772A" w:rsidRDefault="00F6772A" w:rsidP="007213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</w:p>
    <w:p w:rsidR="002316D5" w:rsidRPr="007213D0" w:rsidRDefault="00587030" w:rsidP="00721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București, 8 octombrie 2019</w:t>
      </w:r>
    </w:p>
    <w:sectPr w:rsidR="002316D5" w:rsidRPr="007213D0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85" w:rsidRDefault="00096585" w:rsidP="007A2C35">
      <w:r>
        <w:separator/>
      </w:r>
    </w:p>
  </w:endnote>
  <w:endnote w:type="continuationSeparator" w:id="0">
    <w:p w:rsidR="00096585" w:rsidRDefault="00096585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48" w:rsidRDefault="00981676">
    <w:pPr>
      <w:pStyle w:val="Footer"/>
      <w:jc w:val="right"/>
    </w:pPr>
    <w:r>
      <w:rPr>
        <w:noProof/>
        <w:color w:val="C00000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-140970</wp:posOffset>
              </wp:positionH>
              <wp:positionV relativeFrom="paragraph">
                <wp:posOffset>-65405</wp:posOffset>
              </wp:positionV>
              <wp:extent cx="6248400" cy="0"/>
              <wp:effectExtent l="11430" t="10795" r="7620" b="825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188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CC1E2B">
      <w:fldChar w:fldCharType="begin"/>
    </w:r>
    <w:r w:rsidR="00CC1E2B">
      <w:instrText xml:space="preserve"> PAGE   \* MERGEFORMAT </w:instrText>
    </w:r>
    <w:r w:rsidR="00CC1E2B">
      <w:fldChar w:fldCharType="separate"/>
    </w:r>
    <w:r w:rsidR="00FF513E">
      <w:rPr>
        <w:noProof/>
      </w:rPr>
      <w:t>2</w:t>
    </w:r>
    <w:r w:rsidR="00CC1E2B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586C69" w:rsidRDefault="00981676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3810</wp:posOffset>
              </wp:positionV>
              <wp:extent cx="6248400" cy="0"/>
              <wp:effectExtent l="6985" t="13335" r="12065" b="571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7BB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 Educaţiei</w:t>
          </w: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85" w:rsidRDefault="00096585" w:rsidP="007A2C35">
      <w:r>
        <w:separator/>
      </w:r>
    </w:p>
  </w:footnote>
  <w:footnote w:type="continuationSeparator" w:id="0">
    <w:p w:rsidR="00096585" w:rsidRDefault="00096585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35" w:rsidRPr="00647F3B" w:rsidRDefault="00981676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1905" t="0" r="4445" b="444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981676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61595</wp:posOffset>
              </wp:positionV>
              <wp:extent cx="6248400" cy="0"/>
              <wp:effectExtent l="11430" t="13970" r="7620" b="508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A8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647F3B" w:rsidRDefault="00981676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1905" t="0" r="0" b="381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981676" w:rsidP="00770484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61595</wp:posOffset>
              </wp:positionV>
              <wp:extent cx="6248400" cy="0"/>
              <wp:effectExtent l="11430" t="13970" r="7620" b="50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0E5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76"/>
    <w:rsid w:val="00000890"/>
    <w:rsid w:val="000275B0"/>
    <w:rsid w:val="000562EE"/>
    <w:rsid w:val="0007026C"/>
    <w:rsid w:val="00096585"/>
    <w:rsid w:val="000D2086"/>
    <w:rsid w:val="000E1AA8"/>
    <w:rsid w:val="00101EF0"/>
    <w:rsid w:val="00132FDC"/>
    <w:rsid w:val="001669C9"/>
    <w:rsid w:val="001D4D5B"/>
    <w:rsid w:val="001F4A5F"/>
    <w:rsid w:val="002316D5"/>
    <w:rsid w:val="0026468B"/>
    <w:rsid w:val="00274BA7"/>
    <w:rsid w:val="002910D9"/>
    <w:rsid w:val="002B31EE"/>
    <w:rsid w:val="00307EAF"/>
    <w:rsid w:val="00371304"/>
    <w:rsid w:val="00385AC4"/>
    <w:rsid w:val="003D3EDF"/>
    <w:rsid w:val="0040277A"/>
    <w:rsid w:val="004832B8"/>
    <w:rsid w:val="004A49A2"/>
    <w:rsid w:val="004A6E45"/>
    <w:rsid w:val="004B27F8"/>
    <w:rsid w:val="004B448A"/>
    <w:rsid w:val="004C005A"/>
    <w:rsid w:val="004F3082"/>
    <w:rsid w:val="00522983"/>
    <w:rsid w:val="00524833"/>
    <w:rsid w:val="0054605F"/>
    <w:rsid w:val="00563A53"/>
    <w:rsid w:val="00586C69"/>
    <w:rsid w:val="00587030"/>
    <w:rsid w:val="0059589D"/>
    <w:rsid w:val="005A67D0"/>
    <w:rsid w:val="005B69A4"/>
    <w:rsid w:val="005E2A00"/>
    <w:rsid w:val="00612C39"/>
    <w:rsid w:val="00612DE3"/>
    <w:rsid w:val="006150A6"/>
    <w:rsid w:val="00641690"/>
    <w:rsid w:val="00645E1D"/>
    <w:rsid w:val="00647F3B"/>
    <w:rsid w:val="006C0CEE"/>
    <w:rsid w:val="006D1C46"/>
    <w:rsid w:val="007110BF"/>
    <w:rsid w:val="007213D0"/>
    <w:rsid w:val="00737C84"/>
    <w:rsid w:val="00770484"/>
    <w:rsid w:val="00770D15"/>
    <w:rsid w:val="007A2C35"/>
    <w:rsid w:val="007F0CC8"/>
    <w:rsid w:val="00817A3F"/>
    <w:rsid w:val="008222B5"/>
    <w:rsid w:val="00832A56"/>
    <w:rsid w:val="00836BCF"/>
    <w:rsid w:val="008571DA"/>
    <w:rsid w:val="0086454F"/>
    <w:rsid w:val="00872D53"/>
    <w:rsid w:val="008F1DB3"/>
    <w:rsid w:val="009065DF"/>
    <w:rsid w:val="00912FE5"/>
    <w:rsid w:val="00914089"/>
    <w:rsid w:val="00925FB4"/>
    <w:rsid w:val="009365FA"/>
    <w:rsid w:val="00944385"/>
    <w:rsid w:val="00981676"/>
    <w:rsid w:val="00993068"/>
    <w:rsid w:val="009C690F"/>
    <w:rsid w:val="00A30ED5"/>
    <w:rsid w:val="00A939AB"/>
    <w:rsid w:val="00AB2AF7"/>
    <w:rsid w:val="00AD14C0"/>
    <w:rsid w:val="00AD4A77"/>
    <w:rsid w:val="00AD6CA2"/>
    <w:rsid w:val="00B2605E"/>
    <w:rsid w:val="00B74148"/>
    <w:rsid w:val="00BD1252"/>
    <w:rsid w:val="00BD5BD9"/>
    <w:rsid w:val="00C01554"/>
    <w:rsid w:val="00C52A48"/>
    <w:rsid w:val="00C76076"/>
    <w:rsid w:val="00C76E22"/>
    <w:rsid w:val="00CB168A"/>
    <w:rsid w:val="00CB1725"/>
    <w:rsid w:val="00CC1E2B"/>
    <w:rsid w:val="00DE7701"/>
    <w:rsid w:val="00E32A08"/>
    <w:rsid w:val="00E67ABB"/>
    <w:rsid w:val="00E73474"/>
    <w:rsid w:val="00E83F41"/>
    <w:rsid w:val="00EA13BC"/>
    <w:rsid w:val="00ED5156"/>
    <w:rsid w:val="00EE0C88"/>
    <w:rsid w:val="00EE14F3"/>
    <w:rsid w:val="00F230D9"/>
    <w:rsid w:val="00F6772A"/>
    <w:rsid w:val="00F9523A"/>
    <w:rsid w:val="00FC71A1"/>
    <w:rsid w:val="00FE520B"/>
    <w:rsid w:val="00FF2F57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C0287"/>
  <w15:docId w15:val="{3DCE9343-6D36-44FA-A0C9-521EBD3D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6D6F-4F19-4335-BDEF-EA88DF3D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(1).dotx</Template>
  <TotalTime>52</TotalTime>
  <Pages>1</Pages>
  <Words>293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Simion</cp:lastModifiedBy>
  <cp:revision>9</cp:revision>
  <cp:lastPrinted>2019-05-15T14:59:00Z</cp:lastPrinted>
  <dcterms:created xsi:type="dcterms:W3CDTF">2019-04-10T12:33:00Z</dcterms:created>
  <dcterms:modified xsi:type="dcterms:W3CDTF">2019-10-08T15:08:00Z</dcterms:modified>
</cp:coreProperties>
</file>